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B375" w14:textId="2DBCB19F" w:rsidR="00454C4D" w:rsidRDefault="00454C4D">
      <w:r>
        <w:t>Changes in ISO 19901-5 Rev 1 to WD Rev 3</w:t>
      </w:r>
      <w:r w:rsidR="00EE2FEE">
        <w:t xml:space="preserve">: </w:t>
      </w:r>
      <w:r w:rsidR="00EE2FEE" w:rsidRPr="00EE2FEE">
        <w:rPr>
          <w:b/>
          <w:bCs/>
        </w:rPr>
        <w:t>HIGHLIGHTS</w:t>
      </w:r>
    </w:p>
    <w:p w14:paraId="070A496D" w14:textId="48DA3AD7" w:rsidR="000930AF" w:rsidRDefault="000930AF">
      <w:r>
        <w:t>By Dave Bennett Feb-20</w:t>
      </w:r>
      <w:bookmarkStart w:id="0" w:name="_GoBack"/>
      <w:bookmarkEnd w:id="0"/>
    </w:p>
    <w:p w14:paraId="59DBE138" w14:textId="77777777" w:rsidR="000930AF" w:rsidRDefault="000930AF"/>
    <w:p w14:paraId="3F92859B" w14:textId="77777777" w:rsidR="00B06342" w:rsidRDefault="00B06342" w:rsidP="00B06342">
      <w:pPr>
        <w:rPr>
          <w:b/>
          <w:bCs/>
          <w:u w:val="single"/>
        </w:rPr>
      </w:pPr>
      <w:r w:rsidRPr="00B06342">
        <w:rPr>
          <w:b/>
          <w:bCs/>
          <w:u w:val="single"/>
        </w:rPr>
        <w:t>Document title</w:t>
      </w:r>
    </w:p>
    <w:p w14:paraId="5DC4F828" w14:textId="242704E1" w:rsidR="00B06342" w:rsidRPr="00B06342" w:rsidRDefault="00B06342">
      <w:pPr>
        <w:rPr>
          <w:rFonts w:cstheme="minorHAnsi"/>
        </w:rPr>
      </w:pPr>
      <w:r w:rsidRPr="00B06342">
        <w:rPr>
          <w:rFonts w:cstheme="minorHAnsi"/>
        </w:rPr>
        <w:t xml:space="preserve">Rev 3 has a title change from </w:t>
      </w:r>
      <w:r>
        <w:rPr>
          <w:rFonts w:cstheme="minorHAnsi"/>
          <w:b/>
          <w:bCs/>
        </w:rPr>
        <w:t>Weight control during engineering and construction</w:t>
      </w:r>
      <w:r>
        <w:rPr>
          <w:rFonts w:cstheme="minorHAnsi"/>
        </w:rPr>
        <w:t xml:space="preserve"> to </w:t>
      </w:r>
      <w:r>
        <w:rPr>
          <w:rFonts w:cstheme="minorHAnsi"/>
          <w:b/>
          <w:bCs/>
        </w:rPr>
        <w:t>Weight management</w:t>
      </w:r>
      <w:r>
        <w:rPr>
          <w:rFonts w:cstheme="minorHAnsi"/>
        </w:rPr>
        <w:t>.</w:t>
      </w:r>
    </w:p>
    <w:p w14:paraId="7AA064E4" w14:textId="77777777" w:rsidR="00B06342" w:rsidRDefault="00B06342">
      <w:pPr>
        <w:rPr>
          <w:b/>
          <w:bCs/>
          <w:u w:val="single"/>
        </w:rPr>
      </w:pPr>
    </w:p>
    <w:p w14:paraId="69274A5C" w14:textId="3B70499E" w:rsidR="008F71D4" w:rsidRPr="008F71D4" w:rsidRDefault="008F71D4">
      <w:pPr>
        <w:rPr>
          <w:b/>
          <w:bCs/>
          <w:u w:val="single"/>
        </w:rPr>
      </w:pPr>
      <w:r w:rsidRPr="008F71D4">
        <w:rPr>
          <w:b/>
          <w:bCs/>
          <w:u w:val="single"/>
        </w:rPr>
        <w:t>50/50 weight estimate</w:t>
      </w:r>
    </w:p>
    <w:p w14:paraId="73F4727F" w14:textId="28928007" w:rsidR="00454C4D" w:rsidRDefault="008F71D4">
      <w:r>
        <w:t>Deleted in Rev 2 (</w:t>
      </w:r>
      <w:r w:rsidR="00454C4D" w:rsidRPr="008F71D4">
        <w:t>Rev 1 5</w:t>
      </w:r>
      <w:r w:rsidR="00454C4D">
        <w:t>.3.2</w:t>
      </w:r>
      <w:r>
        <w:t>)</w:t>
      </w:r>
      <w:r w:rsidR="00454C4D">
        <w:t>.  Concept not clearly explained and is in reference to WLB.</w:t>
      </w:r>
    </w:p>
    <w:p w14:paraId="2B75DB40" w14:textId="3E4A5B67" w:rsidR="00454C4D" w:rsidRDefault="00454C4D"/>
    <w:p w14:paraId="45A15AA8" w14:textId="5A1FA982" w:rsidR="008F71D4" w:rsidRPr="008F71D4" w:rsidRDefault="008F71D4">
      <w:pPr>
        <w:rPr>
          <w:b/>
          <w:bCs/>
          <w:u w:val="single"/>
        </w:rPr>
      </w:pPr>
      <w:r w:rsidRPr="008F71D4">
        <w:rPr>
          <w:b/>
          <w:bCs/>
          <w:u w:val="single"/>
        </w:rPr>
        <w:t>Weight control classes</w:t>
      </w:r>
    </w:p>
    <w:p w14:paraId="4E82E089" w14:textId="3249FB71" w:rsidR="00454C4D" w:rsidRDefault="008F71D4">
      <w:r w:rsidRPr="008F71D4">
        <w:t xml:space="preserve">Deleted in </w:t>
      </w:r>
      <w:r w:rsidR="00454C4D" w:rsidRPr="008F71D4">
        <w:t xml:space="preserve">Rev 3 </w:t>
      </w:r>
      <w:r w:rsidR="00454C4D">
        <w:t>(Rev 1 Section 4 &amp; Rev 2 Section 5).  Classes were used to define the level of effort required for projects of varying complexity (Class A projects requiring “high definition of weight and CoG”, Class B projects requiring “medium definition of weight and CoG”, and Class C projects requiring “low definition of weight and CoG”.</w:t>
      </w:r>
      <w:r w:rsidR="0072179F">
        <w:t>)</w:t>
      </w:r>
      <w:r w:rsidR="004A05D6">
        <w:t xml:space="preserve">  Rev 3 has been modified so that all earlier Class requirements are now to be used regardless of project complexity.  (I had disagreed with this approach during last major ISO meeting.)</w:t>
      </w:r>
      <w:r w:rsidR="00EE2FEE">
        <w:t xml:space="preserve">  Removing the Class structure (tabular format) results in a document with improved flow and readability.</w:t>
      </w:r>
    </w:p>
    <w:p w14:paraId="3F8942DB" w14:textId="0FD6A9E6" w:rsidR="004A05D6" w:rsidRDefault="004A05D6"/>
    <w:p w14:paraId="7F53A3CE" w14:textId="4A426E4D" w:rsidR="00F3394E" w:rsidRPr="00F3394E" w:rsidRDefault="00F3394E" w:rsidP="00423EB6">
      <w:pPr>
        <w:rPr>
          <w:b/>
          <w:bCs/>
          <w:u w:val="single"/>
        </w:rPr>
      </w:pPr>
      <w:r>
        <w:rPr>
          <w:b/>
          <w:bCs/>
          <w:u w:val="single"/>
        </w:rPr>
        <w:t>Principles of weight management</w:t>
      </w:r>
    </w:p>
    <w:p w14:paraId="35CA2652" w14:textId="162217A7" w:rsidR="0098446D" w:rsidRDefault="00F3394E">
      <w:r>
        <w:t>Added in Rev 3 as Section 5.</w:t>
      </w:r>
      <w:r w:rsidR="0098446D">
        <w:t xml:space="preserve">  Discusses project phases – concept to decommissioning – where weight shall be managed.  Lists “primary aims (weight) during the concept design stage” and “detailed objectives of weight management”.  Includes an improved graph of weight development - concept to operating – with formulas for determining Gross and predicted weight during each project phase.  Presents improved definition of loading conditions to be reported – fixed, floating and subsea facilities.</w:t>
      </w:r>
    </w:p>
    <w:p w14:paraId="34F22867" w14:textId="1BB8B77A" w:rsidR="00BD5794" w:rsidRDefault="00BD5794"/>
    <w:p w14:paraId="58D80635" w14:textId="406058AA" w:rsidR="00EE2FEE" w:rsidRDefault="00EE2FEE">
      <w:r>
        <w:rPr>
          <w:b/>
          <w:bCs/>
          <w:u w:val="single"/>
        </w:rPr>
        <w:t>Weight budget</w:t>
      </w:r>
    </w:p>
    <w:p w14:paraId="4B365B2E" w14:textId="161133BE" w:rsidR="00EE2FEE" w:rsidRPr="00EE2FEE" w:rsidRDefault="00EE2FEE">
      <w:r>
        <w:t>Rev 3 includes updated and detailed information regarding requirements, content, loading conditions, format and CoG envelopes for providing weight budget information.</w:t>
      </w:r>
    </w:p>
    <w:p w14:paraId="21CD3E18" w14:textId="77777777" w:rsidR="00BD5794" w:rsidRDefault="00BD5794"/>
    <w:p w14:paraId="3BDA0842" w14:textId="5CBFBB9D" w:rsidR="00EE2FEE" w:rsidRDefault="00EE2FEE">
      <w:r>
        <w:rPr>
          <w:b/>
          <w:bCs/>
          <w:u w:val="single"/>
        </w:rPr>
        <w:t>Weight management during execution phases</w:t>
      </w:r>
    </w:p>
    <w:p w14:paraId="428D55F2" w14:textId="4B6182C0" w:rsidR="00EE2FEE" w:rsidRPr="00EE2FEE" w:rsidRDefault="00EE2FEE">
      <w:r>
        <w:t>Rev 3 Section 7. Delves deeper into weight management and reporting requirements during various project phases.  Where Rev 2 Section 7 dealt specifically with the weight control procedure, Rev 3 now discusses the evolution of the procedure during the different project phases.</w:t>
      </w:r>
    </w:p>
    <w:p w14:paraId="3DA1169C" w14:textId="7BB2B44B" w:rsidR="00EE2FEE" w:rsidRDefault="00EE2FEE">
      <w:pPr>
        <w:rPr>
          <w:b/>
          <w:bCs/>
          <w:u w:val="single"/>
        </w:rPr>
      </w:pPr>
    </w:p>
    <w:p w14:paraId="15801D47" w14:textId="7A0B993D" w:rsidR="006C0C27" w:rsidRDefault="006C0C27">
      <w:r>
        <w:rPr>
          <w:b/>
          <w:bCs/>
          <w:u w:val="single"/>
        </w:rPr>
        <w:t>Weighing major assemblies</w:t>
      </w:r>
    </w:p>
    <w:p w14:paraId="2A02B2EC" w14:textId="0C9A390D" w:rsidR="006C0C27" w:rsidRPr="006C0C27" w:rsidRDefault="006C0C27">
      <w:r>
        <w:t>Rev 3 Section 10 revises mandatory weighing requirements from twice (first at 70% to 85% completion then immediately prior to load out) to, minimum at the end of construction.  A weighing at 70% to 85% completion has become a recommendation.</w:t>
      </w:r>
    </w:p>
    <w:p w14:paraId="4E7F799B" w14:textId="77777777" w:rsidR="006C0C27" w:rsidRDefault="006C0C27">
      <w:pPr>
        <w:rPr>
          <w:b/>
          <w:bCs/>
          <w:u w:val="single"/>
        </w:rPr>
      </w:pPr>
    </w:p>
    <w:p w14:paraId="27823074" w14:textId="14DAC06A" w:rsidR="00F55D49" w:rsidRDefault="005B13E5">
      <w:r>
        <w:rPr>
          <w:b/>
          <w:bCs/>
          <w:u w:val="single"/>
        </w:rPr>
        <w:t>Weight management during operations</w:t>
      </w:r>
    </w:p>
    <w:p w14:paraId="271464E5" w14:textId="396F3E38" w:rsidR="005B13E5" w:rsidRPr="005B13E5" w:rsidRDefault="005B13E5">
      <w:r>
        <w:t xml:space="preserve">Rev 3 </w:t>
      </w:r>
      <w:r w:rsidR="006C0C27">
        <w:t xml:space="preserve">Annex E </w:t>
      </w:r>
      <w:r>
        <w:t xml:space="preserve">completely revises this section to present only information pertinent to this ISO document.  Deleted non-essential information.  Section previously read as a </w:t>
      </w:r>
      <w:r w:rsidR="00617F58">
        <w:t xml:space="preserve">structural design document - </w:t>
      </w:r>
      <w:r>
        <w:t xml:space="preserve">rather than a </w:t>
      </w:r>
      <w:r w:rsidR="00617F58">
        <w:t xml:space="preserve">weight </w:t>
      </w:r>
      <w:r>
        <w:t xml:space="preserve">standard. </w:t>
      </w:r>
    </w:p>
    <w:p w14:paraId="0C5EB403" w14:textId="77777777" w:rsidR="00F55D49" w:rsidRDefault="00F55D49">
      <w:pPr>
        <w:rPr>
          <w:b/>
          <w:bCs/>
          <w:u w:val="single"/>
        </w:rPr>
      </w:pPr>
    </w:p>
    <w:p w14:paraId="350BCB5B" w14:textId="127ABF15" w:rsidR="0086322D" w:rsidRDefault="0086322D">
      <w:r w:rsidRPr="0086322D">
        <w:rPr>
          <w:b/>
          <w:bCs/>
          <w:u w:val="single"/>
        </w:rPr>
        <w:lastRenderedPageBreak/>
        <w:t>Weight result uncertainty</w:t>
      </w:r>
    </w:p>
    <w:p w14:paraId="0A014E51" w14:textId="694A2195" w:rsidR="00D60C3A" w:rsidRPr="00D60C3A" w:rsidRDefault="00D60C3A">
      <w:r>
        <w:t xml:space="preserve">Rev 3 </w:t>
      </w:r>
      <w:r w:rsidR="006C0C27">
        <w:t xml:space="preserve">Annex H </w:t>
      </w:r>
      <w:r>
        <w:t>provides improved information and formulae.  A worked example is included.</w:t>
      </w:r>
    </w:p>
    <w:p w14:paraId="597C89CE" w14:textId="77777777" w:rsidR="0086322D" w:rsidRDefault="0086322D">
      <w:pPr>
        <w:rPr>
          <w:b/>
          <w:bCs/>
          <w:u w:val="single"/>
        </w:rPr>
      </w:pPr>
    </w:p>
    <w:p w14:paraId="55CEC5D3" w14:textId="24E30A38" w:rsidR="00BD5794" w:rsidRDefault="00BD5794">
      <w:r>
        <w:rPr>
          <w:b/>
          <w:bCs/>
          <w:u w:val="single"/>
        </w:rPr>
        <w:t>Weight management of concrete structures</w:t>
      </w:r>
    </w:p>
    <w:p w14:paraId="0C6DC0FB" w14:textId="4649C492" w:rsidR="00BD5794" w:rsidRDefault="00BD5794">
      <w:r>
        <w:t>Added in Rev 3 Annex J.  Discusses concrete density, volumes, weight and CoG, reinforcement and weight reporting.</w:t>
      </w:r>
    </w:p>
    <w:p w14:paraId="57EBCA21" w14:textId="0BB62F08" w:rsidR="00BD5794" w:rsidRDefault="00BD5794"/>
    <w:p w14:paraId="4146AA94" w14:textId="24D8C171" w:rsidR="00BD5794" w:rsidRDefault="00BD5794" w:rsidP="00BD5794">
      <w:r>
        <w:rPr>
          <w:b/>
          <w:bCs/>
          <w:u w:val="single"/>
        </w:rPr>
        <w:t>Coordinate systems</w:t>
      </w:r>
    </w:p>
    <w:p w14:paraId="354B0D8B" w14:textId="71A283E2" w:rsidR="00EE2FEE" w:rsidRPr="00BD5794" w:rsidRDefault="00BD5794" w:rsidP="00BD5794">
      <w:r>
        <w:t xml:space="preserve">Added in Rev 3 Annex K.  Example figure given of fixed platform.  </w:t>
      </w:r>
      <w:r w:rsidRPr="00BD5794">
        <w:rPr>
          <w:color w:val="FF0000"/>
        </w:rPr>
        <w:t>Need to add sketches for floating facilities.</w:t>
      </w:r>
    </w:p>
    <w:sectPr w:rsidR="00EE2FEE" w:rsidRPr="00BD5794" w:rsidSect="00351B16">
      <w:pgSz w:w="12240" w:h="15840"/>
      <w:pgMar w:top="78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4D"/>
    <w:rsid w:val="000930AF"/>
    <w:rsid w:val="00124847"/>
    <w:rsid w:val="00152F47"/>
    <w:rsid w:val="0025055F"/>
    <w:rsid w:val="00351B16"/>
    <w:rsid w:val="00423EB6"/>
    <w:rsid w:val="00454C4D"/>
    <w:rsid w:val="004A05D6"/>
    <w:rsid w:val="005B13E5"/>
    <w:rsid w:val="00617F58"/>
    <w:rsid w:val="006C0C27"/>
    <w:rsid w:val="0072179F"/>
    <w:rsid w:val="0086322D"/>
    <w:rsid w:val="008D4C39"/>
    <w:rsid w:val="008F71D4"/>
    <w:rsid w:val="00933E67"/>
    <w:rsid w:val="0098446D"/>
    <w:rsid w:val="00B06342"/>
    <w:rsid w:val="00BD5794"/>
    <w:rsid w:val="00D60C3A"/>
    <w:rsid w:val="00EE2FEE"/>
    <w:rsid w:val="00EF5FCF"/>
    <w:rsid w:val="00F3394E"/>
    <w:rsid w:val="00F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8EE9B"/>
  <w15:chartTrackingRefBased/>
  <w15:docId w15:val="{D8BD9A5E-E571-794D-BE2C-443D236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5A8C6-12DF-E44E-A0AE-6781AEF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Dave Bennett</cp:lastModifiedBy>
  <cp:revision>22</cp:revision>
  <dcterms:created xsi:type="dcterms:W3CDTF">2020-02-21T14:50:00Z</dcterms:created>
  <dcterms:modified xsi:type="dcterms:W3CDTF">2020-02-29T17:20:00Z</dcterms:modified>
</cp:coreProperties>
</file>